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514CB">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方正小标宋简体" w:hAnsi="方正小标宋简体" w:eastAsia="方正小标宋简体" w:cs="宋体"/>
          <w:b w:val="0"/>
          <w:bCs w:val="0"/>
          <w:color w:val="FF0000"/>
          <w:kern w:val="0"/>
          <w:sz w:val="120"/>
          <w:szCs w:val="120"/>
          <w:lang w:val="en-US" w:eastAsia="zh-CN" w:bidi="ar-SA"/>
        </w:rPr>
      </w:pPr>
      <w:r>
        <w:rPr>
          <w:rFonts w:hint="eastAsia" w:ascii="方正小标宋简体" w:hAnsi="方正小标宋简体" w:eastAsia="方正小标宋简体" w:cs="宋体"/>
          <w:b w:val="0"/>
          <w:bCs w:val="0"/>
          <w:color w:val="FF0000"/>
          <w:spacing w:val="1"/>
          <w:w w:val="59"/>
          <w:kern w:val="0"/>
          <w:sz w:val="120"/>
          <w:szCs w:val="120"/>
          <w:fitText w:val="8520" w:id="1663459709"/>
          <w:lang w:val="en-US" w:eastAsia="zh-CN" w:bidi="ar-SA"/>
        </w:rPr>
        <w:t>共青团吉首大学委员会文</w:t>
      </w:r>
      <w:r>
        <w:rPr>
          <w:rFonts w:hint="eastAsia" w:ascii="方正小标宋简体" w:hAnsi="方正小标宋简体" w:eastAsia="方正小标宋简体" w:cs="宋体"/>
          <w:b w:val="0"/>
          <w:bCs w:val="0"/>
          <w:color w:val="FF0000"/>
          <w:spacing w:val="30"/>
          <w:w w:val="59"/>
          <w:kern w:val="0"/>
          <w:sz w:val="120"/>
          <w:szCs w:val="120"/>
          <w:fitText w:val="8520" w:id="1663459709"/>
          <w:lang w:val="en-US" w:eastAsia="zh-CN" w:bidi="ar-SA"/>
        </w:rPr>
        <w:t>件</w:t>
      </w:r>
    </w:p>
    <w:p w14:paraId="143367C2">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_GB2312" w:hAnsi="仿宋_GB2312" w:eastAsia="仿宋_GB2312" w:cs="仿宋_GB2312"/>
          <w:b w:val="0"/>
          <w:bCs w:val="0"/>
          <w:color w:val="FF0000"/>
          <w:kern w:val="0"/>
          <w:sz w:val="32"/>
          <w:szCs w:val="32"/>
          <w:lang w:val="en-US" w:eastAsia="zh-CN" w:bidi="ar-SA"/>
        </w:rPr>
      </w:pPr>
      <w:r>
        <w:rPr>
          <w:b w:val="0"/>
          <w:bCs w:val="0"/>
          <w:sz w:val="32"/>
        </w:rPr>
        <mc:AlternateContent>
          <mc:Choice Requires="wps">
            <w:drawing>
              <wp:anchor distT="0" distB="0" distL="114300" distR="114300" simplePos="0" relativeHeight="251662336" behindDoc="1" locked="0" layoutInCell="1" allowOverlap="1">
                <wp:simplePos x="0" y="0"/>
                <wp:positionH relativeFrom="column">
                  <wp:posOffset>2551430</wp:posOffset>
                </wp:positionH>
                <wp:positionV relativeFrom="paragraph">
                  <wp:posOffset>184150</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28120404">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0.9pt;margin-top:14.5pt;height:51pt;width:36pt;z-index:-251654144;mso-width-relative:page;mso-height-relative:page;" filled="f" stroked="f" coordsize="21600,21600" o:gfxdata="UEsDBAoAAAAAAIdO4kAAAAAAAAAAAAAAAAAEAAAAZHJzL1BLAwQUAAAACACHTuJA7il5W9YAAAAK&#10;AQAADwAAAGRycy9kb3ducmV2LnhtbE2PTU/DMAyG70j8h8hI3FjSrXys1N0BxBXE+JC4ZY3XVjRO&#10;1WRr+feYEzvafvT6ecvN7Ht1pDF2gRGyhQFFXAfXcYPw/vZ0dQcqJsvO9oEJ4YcibKrzs9IWLkz8&#10;SsdtapSEcCwsQpvSUGgd65a8jYswEMttH0Zvk4xjo91oJwn3vV4ac6O97Vg+tHagh5bq7+3BI3w8&#10;778+c/PSPPrrYQqz0ezXGvHyIjP3oBLN6R+GP31Rh0qcduHALqoeITeZqCeE5Vo6CZDfrmSxE3KV&#10;GdBVqU8rVL9QSwMEFAAAAAgAh07iQJIQXoW9AQAAZwMAAA4AAABkcnMvZTJvRG9jLnhtbK1TQW7b&#10;MBC8F8gfCN5jyq4VB4LlAIWRXIK2QNoH0BRpESC5BElb8gfaH/TUS+99l9/RpaSmaXLJIRdquRzN&#10;7gyX65veGnKUIWpwNZ3PCkqkE9Bot6/p1y+3l9eUxMRdww04WdOTjPRmc/Fu3flKLqAF08hAkMTF&#10;qvM1bVPyFWNRtNLyOAMvHR4qCJYn3IY9awLvkN0atiiKK9ZBaHwAIWPE7HY8pBNjeA0hKKWF3II4&#10;WOnSyBqk4QklxVb7SDdDt0pJkT4pFWUipqaoNA0rFsF4l1e2WfNqH7hvtZha4K9p4Zkmy7XDoo9U&#10;W544OQT9gspqESCCSjMBlo1CBkdQxbx45s1Dy70ctKDV0T+aHt+OVnw8fg5ENzgJlDhu8cLPP76f&#10;f/4+//pG5tmezscKUQ8ecan/AH2GTvmIyay6V8HmL+oheP6+LOdlWVJyquliWawW1+VotOwTEQhY&#10;liscBUoEAq6WqxXGyMj+EfkQ050ES3JQ04D3ONjLj/cxjdC/kFzXwa02BvO8Mu6/BHKOGTkMw/R3&#10;1jT2nqPU7/pJ0A6aE+o8+KD3LRYelLIMQv+HDqdZyRf8dI/x0/e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KXlb1gAAAAoBAAAPAAAAAAAAAAEAIAAAACIAAABkcnMvZG93bnJldi54bWxQSwEC&#10;FAAUAAAACACHTuJAkhBehb0BAABnAwAADgAAAAAAAAABACAAAAAlAQAAZHJzL2Uyb0RvYy54bWxQ&#10;SwUGAAAAAAYABgBZAQAAVAUAAAAA&#10;">
                <v:fill on="f" focussize="0,0"/>
                <v:stroke on="f"/>
                <v:imagedata o:title=""/>
                <o:lock v:ext="edit" aspectratio="f"/>
                <v:textbox>
                  <w:txbxContent>
                    <w:p w14:paraId="28120404">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rPr>
        <w:t>校团〔202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号</w:t>
      </w:r>
    </w:p>
    <w:p w14:paraId="1F773423">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164465</wp:posOffset>
                </wp:positionV>
                <wp:extent cx="2365375" cy="4445"/>
                <wp:effectExtent l="0" t="0" r="0" b="0"/>
                <wp:wrapNone/>
                <wp:docPr id="3" name="直接连接符 3"/>
                <wp:cNvGraphicFramePr/>
                <a:graphic xmlns:a="http://schemas.openxmlformats.org/drawingml/2006/main">
                  <a:graphicData uri="http://schemas.microsoft.com/office/word/2010/wordprocessingShape">
                    <wps:wsp>
                      <wps:cNvCnPr/>
                      <wps:spPr>
                        <a:xfrm>
                          <a:off x="4087495" y="2815590"/>
                          <a:ext cx="2365375" cy="444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3.8pt;margin-top:12.95pt;height:0.35pt;width:186.25pt;z-index:-251655168;mso-width-relative:page;mso-height-relative:page;" filled="f" stroked="t" coordsize="21600,21600" o:gfxdata="UEsDBAoAAAAAAIdO4kAAAAAAAAAAAAAAAAAEAAAAZHJzL1BLAwQUAAAACACHTuJAM/cvj9gAAAAJ&#10;AQAADwAAAGRycy9kb3ducmV2LnhtbE2Py07DMBBF90j8gzVI7KidCEwIcSpAsENCDY9u3XiIo8Z2&#10;FLtp+vcMK1jOzNGdc6v14gY24xT74BVkKwEMfRtM7zsFH+8vVwWwmLQ3eggeFZwwwro+P6t0acLR&#10;b3BuUscoxMdSK7ApjSXnsbXodFyFET3dvsPkdKJx6riZ9JHC3cBzISR3uvf0weoRnyy2++bgFCxf&#10;xYPdvqbH5/D5ZvfLtnFzflLq8iIT98ASLukPhl99UoeanHbh4E1kg4Lr4lYSqiC/uQNGQCFFBmxH&#10;CymB1xX/36D+AVBLAwQUAAAACACHTuJArguSowoCAAACBAAADgAAAGRycy9lMm9Eb2MueG1srVNL&#10;ktMwEN1TxR1U2hM7H89kXHFmMSFsKJgq4AAdWbZVpV9JSpxcggtQxQ5WLNnPbRiOQUs2wzBsssAL&#10;uSU9ve731FpdH5UkB+68MLqi00lOCdfM1EK3Ff3wfvtiSYkPoGuQRvOKnrin1+vnz1a9LfnMdEbW&#10;3BEk0b7sbUW7EGyZZZ51XIGfGMs1bjbGKQg4dW1WO+iRXclslucXWW9cbZ1h3Htc3QybdGR05xCa&#10;phGMbwzbK67DwOq4hICSfCesp+tUbdNwFt42jeeByIqi0pBGTILxLo7ZegVl68B2go0lwDklPNGk&#10;QGhM+kC1gQBk78Q/VEowZ7xpwoQZlQ1CkiOoYpo/8eZdB5YnLWi1tw+m+/9Hy94cbh0RdUXnlGhQ&#10;eOH3n77/+Pjl591nHO+/fSXzaFJvfYnYG33rxpm3ty4qPjZOxT9qIceKLvLl5eKqoORU0dlyWhRX&#10;o8n8GAhDwGx+UcwvEcAQsVgsikif/eGxzodX3CgSg4pKoaMFUMLhtQ8D9DckLktN+pipSJSADdlg&#10;IyC7sijK6zYd9kaKeiukjEe8a3c30pEDYFNstzl+Yw1/wWKWDfhuwKWtCIOy41C/1DUJJ4t2aXwl&#10;NNageE2J5PioYpSQAYQ8B4nypY7UPLXsKDR6Prgco52pT3hVe+tE26Ex01Rz3MHWSA6ObRx77/Ec&#10;48dPd/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cvj9gAAAAJAQAADwAAAAAAAAABACAAAAAi&#10;AAAAZHJzL2Rvd25yZXYueG1sUEsBAhQAFAAAAAgAh07iQK4LkqMKAgAAAgQAAA4AAAAAAAAAAQAg&#10;AAAAJwEAAGRycy9lMm9Eb2MueG1sUEsFBgAAAAAGAAYAWQEAAKM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775D4927">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关于举办</w:t>
      </w:r>
      <w:bookmarkStart w:id="0" w:name="OLE_LINK2"/>
      <w:r>
        <w:rPr>
          <w:rFonts w:hint="eastAsia" w:ascii="方正小标宋简体" w:hAnsi="方正小标宋简体" w:eastAsia="方正小标宋简体" w:cs="方正小标宋简体"/>
          <w:b w:val="0"/>
          <w:bCs w:val="0"/>
          <w:sz w:val="44"/>
          <w:szCs w:val="44"/>
          <w:lang w:val="en-US" w:eastAsia="zh-CN"/>
        </w:rPr>
        <w:t>吉首大学“礼承初心，仪绽青春”</w:t>
      </w:r>
    </w:p>
    <w:p w14:paraId="641D098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职业礼仪提升实践活动</w:t>
      </w:r>
      <w:bookmarkEnd w:id="0"/>
      <w:r>
        <w:rPr>
          <w:rFonts w:hint="eastAsia" w:ascii="方正小标宋简体" w:hAnsi="方正小标宋简体" w:eastAsia="方正小标宋简体" w:cs="方正小标宋简体"/>
          <w:b w:val="0"/>
          <w:bCs w:val="0"/>
          <w:sz w:val="44"/>
          <w:szCs w:val="44"/>
          <w:lang w:val="en-US" w:eastAsia="zh-CN"/>
        </w:rPr>
        <w:t>的通知</w:t>
      </w:r>
    </w:p>
    <w:p w14:paraId="15E06D37">
      <w:pPr>
        <w:keepNext w:val="0"/>
        <w:keepLines w:val="0"/>
        <w:pageBreakBefore w:val="0"/>
        <w:kinsoku/>
        <w:wordWrap/>
        <w:overflowPunct/>
        <w:topLinePunct w:val="0"/>
        <w:bidi w:val="0"/>
        <w:spacing w:line="576" w:lineRule="exact"/>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各学院</w:t>
      </w:r>
      <w:r>
        <w:rPr>
          <w:rFonts w:hint="eastAsia" w:ascii="Times New Roman" w:hAnsi="Times New Roman" w:eastAsia="仿宋_GB2312" w:cs="Times New Roman"/>
          <w:b w:val="0"/>
          <w:bCs w:val="0"/>
          <w:sz w:val="32"/>
          <w:szCs w:val="32"/>
          <w:lang w:val="en-US" w:eastAsia="zh-CN"/>
        </w:rPr>
        <w:t>团委</w:t>
      </w:r>
      <w:r>
        <w:rPr>
          <w:rFonts w:hint="eastAsia" w:ascii="Times New Roman" w:hAnsi="Times New Roman" w:eastAsia="仿宋_GB2312" w:cs="Times New Roman"/>
          <w:b w:val="0"/>
          <w:bCs w:val="0"/>
          <w:sz w:val="32"/>
          <w:szCs w:val="32"/>
        </w:rPr>
        <w:t>：</w:t>
      </w:r>
    </w:p>
    <w:p w14:paraId="0E24FC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为深入贯彻落实《吉首大学新时代美育行动计划》，扎实推进我校美育工作，营造良好的知礼、学礼、明礼、守礼校园氛围，引导学生在职业素养中感知美、理解美、践行美，现在全校范围内组织开展“礼承初心，仪绽青春”职业礼仪提升实践活动，现将有关事项通知如下。</w:t>
      </w:r>
    </w:p>
    <w:p w14:paraId="6684AF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一、活动主题</w:t>
      </w:r>
    </w:p>
    <w:p w14:paraId="025313A5">
      <w:pPr>
        <w:keepNext w:val="0"/>
        <w:keepLines w:val="0"/>
        <w:pageBreakBefore w:val="0"/>
        <w:widowControl/>
        <w:numPr>
          <w:ilvl w:val="0"/>
          <w:numId w:val="0"/>
        </w:numPr>
        <w:kinsoku/>
        <w:wordWrap/>
        <w:overflowPunct/>
        <w:topLinePunct w:val="0"/>
        <w:autoSpaceDE w:val="0"/>
        <w:autoSpaceDN w:val="0"/>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礼承初心，仪绽青春</w:t>
      </w:r>
    </w:p>
    <w:p w14:paraId="379C6C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二、活动目的</w:t>
      </w:r>
    </w:p>
    <w:p w14:paraId="48EF6D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通过职业礼仪</w:t>
      </w:r>
      <w:r>
        <w:rPr>
          <w:rFonts w:hint="eastAsia" w:ascii="Times New Roman" w:hAnsi="Times New Roman" w:eastAsia="仿宋_GB2312" w:cs="Times New Roman"/>
          <w:sz w:val="32"/>
          <w:szCs w:val="32"/>
          <w:lang w:val="en-US" w:eastAsia="zh-CN"/>
        </w:rPr>
        <w:t>工作坊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职场情景挑战赛</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lang w:val="en-US" w:eastAsia="zh-CN"/>
        </w:rPr>
        <w:t>职业礼仪风采大赛</w:t>
      </w:r>
      <w:r>
        <w:rPr>
          <w:rFonts w:hint="eastAsia" w:ascii="Times New Roman" w:hAnsi="Times New Roman" w:eastAsia="仿宋_GB2312" w:cs="Times New Roman"/>
          <w:sz w:val="32"/>
          <w:szCs w:val="32"/>
          <w:lang w:eastAsia="zh-CN"/>
        </w:rPr>
        <w:t>等实践形式，引导学生在知行合一中感知与践行“职业之美”，全面提升审美素养与职业竞争力，营造校园知礼明礼的文化氛围。</w:t>
      </w:r>
    </w:p>
    <w:p w14:paraId="7FF662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三、组织单位</w:t>
      </w:r>
    </w:p>
    <w:p w14:paraId="76462A1E">
      <w:pPr>
        <w:keepNext w:val="0"/>
        <w:keepLines w:val="0"/>
        <w:pageBreakBefore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主办单位：共青团吉首大学委员会</w:t>
      </w:r>
    </w:p>
    <w:p w14:paraId="1E418DD6">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承办单位：</w:t>
      </w:r>
      <w:r>
        <w:rPr>
          <w:rFonts w:hint="eastAsia" w:ascii="Times New Roman" w:hAnsi="Times New Roman" w:eastAsia="仿宋_GB2312" w:cs="Times New Roman"/>
          <w:bCs/>
          <w:color w:val="000000"/>
          <w:kern w:val="0"/>
          <w:sz w:val="32"/>
          <w:szCs w:val="32"/>
          <w:lang w:eastAsia="zh-CN"/>
        </w:rPr>
        <w:t>共青团</w:t>
      </w:r>
      <w:r>
        <w:rPr>
          <w:rFonts w:hint="eastAsia" w:ascii="Times New Roman" w:hAnsi="Times New Roman" w:eastAsia="仿宋_GB2312" w:cs="Times New Roman"/>
          <w:bCs/>
          <w:color w:val="000000"/>
          <w:kern w:val="0"/>
          <w:sz w:val="32"/>
          <w:szCs w:val="32"/>
        </w:rPr>
        <w:t>吉首大学商学院</w:t>
      </w:r>
      <w:r>
        <w:rPr>
          <w:rFonts w:hint="eastAsia" w:ascii="Times New Roman" w:hAnsi="Times New Roman" w:eastAsia="仿宋_GB2312" w:cs="Times New Roman"/>
          <w:bCs/>
          <w:color w:val="000000"/>
          <w:kern w:val="0"/>
          <w:sz w:val="32"/>
          <w:szCs w:val="32"/>
          <w:lang w:eastAsia="zh-CN"/>
        </w:rPr>
        <w:t>委员会、</w:t>
      </w:r>
      <w:bookmarkStart w:id="1" w:name="OLE_LINK1"/>
      <w:r>
        <w:rPr>
          <w:rFonts w:hint="eastAsia" w:ascii="Times New Roman" w:hAnsi="Times New Roman" w:eastAsia="仿宋_GB2312" w:cs="Times New Roman"/>
          <w:bCs/>
          <w:color w:val="000000"/>
          <w:kern w:val="0"/>
          <w:sz w:val="32"/>
          <w:szCs w:val="32"/>
          <w:lang w:eastAsia="zh-CN"/>
        </w:rPr>
        <w:t>共青团</w:t>
      </w:r>
      <w:r>
        <w:rPr>
          <w:rFonts w:hint="eastAsia" w:ascii="Times New Roman" w:hAnsi="Times New Roman" w:eastAsia="仿宋_GB2312" w:cs="Times New Roman"/>
          <w:sz w:val="32"/>
          <w:szCs w:val="32"/>
          <w:lang w:val="en-US" w:eastAsia="zh-CN"/>
        </w:rPr>
        <w:t>吉首大学旅游学院委员会</w:t>
      </w:r>
    </w:p>
    <w:bookmarkEnd w:id="1"/>
    <w:p w14:paraId="2551CA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四、参与对象</w:t>
      </w:r>
    </w:p>
    <w:p w14:paraId="58F0E4CA">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全体在校学生</w:t>
      </w:r>
    </w:p>
    <w:p w14:paraId="20047E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五、活动内容及安排</w:t>
      </w:r>
    </w:p>
    <w:p w14:paraId="0508CBC9">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zh-CN" w:eastAsia="zh-CN"/>
        </w:rPr>
        <w:t>（一）</w:t>
      </w:r>
      <w:r>
        <w:rPr>
          <w:rFonts w:hint="eastAsia" w:ascii="Times New Roman" w:hAnsi="Times New Roman" w:eastAsia="楷体" w:cs="Times New Roman"/>
          <w:b w:val="0"/>
          <w:bCs w:val="0"/>
          <w:sz w:val="32"/>
          <w:szCs w:val="32"/>
          <w:lang w:val="zh-CN"/>
        </w:rPr>
        <w:t>职业礼仪</w:t>
      </w:r>
      <w:r>
        <w:rPr>
          <w:rFonts w:hint="eastAsia" w:ascii="Times New Roman" w:hAnsi="Times New Roman" w:eastAsia="楷体" w:cs="Times New Roman"/>
          <w:b w:val="0"/>
          <w:bCs w:val="0"/>
          <w:sz w:val="32"/>
          <w:szCs w:val="32"/>
          <w:lang w:val="en-US" w:eastAsia="zh-CN"/>
        </w:rPr>
        <w:t>工作坊</w:t>
      </w:r>
    </w:p>
    <w:p w14:paraId="4794E6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1.培训内容</w:t>
      </w:r>
    </w:p>
    <w:p w14:paraId="2F89DE2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设置仪态气质修炼、职业妆容实战、公众表达决胜三大互动工作坊，系统提升学员职业礼仪素养。</w:t>
      </w:r>
    </w:p>
    <w:p w14:paraId="4CE65785">
      <w:pPr>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 w:val="32"/>
          <w:szCs w:val="32"/>
          <w:lang w:val="en-US" w:eastAsia="zh-CN"/>
        </w:rPr>
        <w:t>报名方式</w:t>
      </w:r>
    </w:p>
    <w:p w14:paraId="73AB523B">
      <w:pPr>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有意向参加的同学请登录企业微信，依次进入【学工系统】-【团委服务】，在【学生活动栏】中找到本次活动并进行报名。第一场、第二场每场限报50人，第三场限报100人，额满即止。</w:t>
      </w:r>
    </w:p>
    <w:p w14:paraId="78FD2148">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3.场次安排</w:t>
      </w:r>
    </w:p>
    <w:p w14:paraId="41842A13">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（1）第一场：仪态气质修炼工作坊</w:t>
      </w:r>
    </w:p>
    <w:p w14:paraId="3410F3F2">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活动时间：11月16日（星期日）上午9:00-10:00</w:t>
      </w:r>
    </w:p>
    <w:p w14:paraId="3A22EDD1">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活动地点：砂子坳校区第四教学楼新排练厅101​</w:t>
      </w:r>
    </w:p>
    <w:p w14:paraId="044875C5">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内容简介：通过专业的形体指导与情景模拟演练，学习标准的站、坐、行、蹲姿及手势，掌握自信、得体的职业举止规范，有效提升个人形象魅力与职业气场。</w:t>
      </w:r>
    </w:p>
    <w:p w14:paraId="08F6226E">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（2）第二场：职业妆容实战工作坊</w:t>
      </w:r>
    </w:p>
    <w:p w14:paraId="160E3D4D">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活动时间：11月16日（星期日）下午14:30-16:30</w:t>
      </w:r>
    </w:p>
    <w:p w14:paraId="39647882">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活动地点：砂子坳校区第三教学楼3103</w:t>
      </w:r>
    </w:p>
    <w:p w14:paraId="393FA56F">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容简介：通过理论讲解、现场演示与实战操作相结合，聚焦职业妆容的打造技巧与核心原则，帮助学员掌握快速打造得体职业妆容的能力，塑造干净、专业、自信的职业第一印象。建议自带基础化妆品（如粉底、眉笔、口红等）以便实战操作。</w:t>
      </w:r>
    </w:p>
    <w:p w14:paraId="241153E1">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（3）第三场：公众表达决胜工作坊</w:t>
      </w:r>
    </w:p>
    <w:p w14:paraId="5B984C12">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活动时间：11月16日（星期日）下午14:30-16:30</w:t>
      </w:r>
    </w:p>
    <w:p w14:paraId="12A7249E">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活动地点：砂子坳校区第三教学楼负一楼学术报告厅</w:t>
      </w:r>
    </w:p>
    <w:p w14:paraId="0C741FEF">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内容简介：通过逻辑结构培训与迷你演讲实战，强化语言组织与表达技巧，助力学员提升在面试、汇报等关键场合的沟通效率与说服能力，从容应对各类职场挑战。</w:t>
      </w:r>
    </w:p>
    <w:p w14:paraId="5EFE2FC4">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（二）职场情景挑战赛</w:t>
      </w:r>
    </w:p>
    <w:p w14:paraId="643CF8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1.活动时间：11月23日下午13:00-17:30（暂定）</w:t>
      </w:r>
    </w:p>
    <w:p w14:paraId="3B34AE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2.活动地点：砂子坳校区从文广场（暂定）</w:t>
      </w:r>
    </w:p>
    <w:p w14:paraId="643D1D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3.报名方式：活动支持线上报名与现场报名两种方式。</w:t>
      </w:r>
    </w:p>
    <w:p w14:paraId="6EECFD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（1）线上报名：有意向参加的同学请登录企业微信，依次进入【学工系统】-【团委服务】，在【学生活动栏】中找到本次活动并进行报名。</w:t>
      </w:r>
    </w:p>
    <w:p w14:paraId="37D774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（2）现场报名：活动当天可在广场入口处的“报名处”直接登记参与。</w:t>
      </w:r>
    </w:p>
    <w:p w14:paraId="19ABA40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活动内容：设置职业仪态入门、商务社交破冰、沟通礼仪实战等六大趣味关卡。第一关至第五关参与者可自由选择关卡先后顺序进行挑战，每通过一关可获得一枚印章。集齐6枚印章，即可在终点认证处兑换精美纪念品一份。</w:t>
      </w:r>
    </w:p>
    <w:p w14:paraId="440208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（1）第一关：职业仪态入门​</w:t>
      </w:r>
    </w:p>
    <w:p w14:paraId="3F22F6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关卡通过视频学习与镜像模仿，帮助参与者掌握标准的站、坐、行、蹲等基本仪态。参与者需抽取动作指令，观看标准示范视频后，在镜子前进行模仿练习，并由工作人员提供即时反馈，旨在塑造自信、得体的职业举止。</w:t>
      </w:r>
    </w:p>
    <w:p w14:paraId="6F0F0A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（2）第二关：商务社交破冰​</w:t>
      </w:r>
    </w:p>
    <w:p w14:paraId="673B1F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关卡模拟商务社交场景（如初次见面、交换名片）。参与者抽签选择情境，与同伴或工作人员完成角色扮演，重点考察微笑、眼神交流、握手、自我介绍及话题开启等礼仪，帮助学生在互动中掌握商务社交基本规范。</w:t>
      </w:r>
    </w:p>
    <w:p w14:paraId="66EB3A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（3）第三关：沟通礼仪实战​</w:t>
      </w:r>
    </w:p>
    <w:p w14:paraId="097BEF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本关卡聚焦职场沟通礼仪。参与者抽取任务卡（如“委婉拒绝请求”“得体提出不同意见”），通过情景模拟训练用语礼貌、倾听技巧、情绪管理与逻辑表达能力，了解职场沟通的禁忌与艺术。</w:t>
      </w:r>
    </w:p>
    <w:p w14:paraId="70670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（4）第四关：情境礼仪智囊团​</w:t>
      </w:r>
    </w:p>
    <w:p w14:paraId="3B6E14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本关卡采用选择题或判断题形式，考察学生对特定职场情境下礼仪规范的理解，涵盖电子邮件签名、会议座次、商务用餐、客户接待流程等，强化对细节礼仪的认知与应用。</w:t>
      </w:r>
    </w:p>
    <w:p w14:paraId="7C06F2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（5）第五关：职业形象设计站​</w:t>
      </w:r>
    </w:p>
    <w:p w14:paraId="1E919B7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本关卡通过搭配卡片游戏，帮助参与者学习不同行业（如IT、金融、教育）的着装要求，为虚拟职业角色搭配服装、妆容及发型，探讨个人色彩与体型分析在职业形象塑造中的初步应用。</w:t>
      </w:r>
    </w:p>
    <w:p w14:paraId="7000C1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（6）第六关：礼仪祝福传递​</w:t>
      </w:r>
    </w:p>
    <w:p w14:paraId="7E46BC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sz w:val="32"/>
          <w:szCs w:val="32"/>
          <w:lang w:val="en-US" w:eastAsia="zh-CN"/>
        </w:rPr>
        <w:t>作为活动尾声，本关卡为祝福环节。参与者在便签上写下对职业礼仪的新感悟或对他人职场发展的美好祝愿，粘贴于祝福墙，强化活动带来的积极情感体验，鼓励善意的传递。</w:t>
      </w:r>
    </w:p>
    <w:p w14:paraId="672EE5E1">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（三）第九届职业礼仪风采大赛</w:t>
      </w:r>
    </w:p>
    <w:p w14:paraId="413A3C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1.活动时间：</w:t>
      </w:r>
      <w:r>
        <w:rPr>
          <w:rFonts w:hint="eastAsia" w:ascii="Times New Roman" w:hAnsi="Times New Roman" w:eastAsia="仿宋_GB2312" w:cs="Times New Roman"/>
          <w:sz w:val="32"/>
          <w:szCs w:val="32"/>
          <w:lang w:val="en-US" w:eastAsia="zh-CN"/>
        </w:rPr>
        <w:t>11月23日下午14:30-16:30（暂定）</w:t>
      </w:r>
    </w:p>
    <w:p w14:paraId="53DA56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2.活动地点：砂子坳校区从文广场（暂定）</w:t>
      </w:r>
    </w:p>
    <w:p w14:paraId="57F157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3.活动内容：各学院选派一支队伍参赛（10-20人），表演时长4-6分钟，节目内容需紧密结合职业礼仪核心（尊重、专业、得体）及本学院相关专业职场场景的礼仪规范，表演形式不限。</w:t>
      </w:r>
    </w:p>
    <w:p w14:paraId="52066A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4.活动要求：</w:t>
      </w:r>
    </w:p>
    <w:p w14:paraId="3A67F778">
      <w:pPr>
        <w:keepNext w:val="0"/>
        <w:keepLines w:val="0"/>
        <w:pageBreakBefore w:val="0"/>
        <w:kinsoku/>
        <w:wordWrap/>
        <w:overflowPunct/>
        <w:topLinePunct w:val="0"/>
        <w:bidi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sz w:val="32"/>
          <w:szCs w:val="32"/>
          <w:lang w:val="en-US" w:eastAsia="zh-CN"/>
        </w:rPr>
        <w:t>吉首校区各学院将《吉首大学第九届职业礼仪风采大赛》扫描版发送至商学院指定邮箱：jsusxywenyibu@163.com，截止时间为11月15日（星期六），邮件以“学院+吉首大学第九届职业礼仪风采大赛”的形式命名。</w:t>
      </w:r>
    </w:p>
    <w:p w14:paraId="72DCC8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（2）请吉首校区各学院负责人及时加入大赛官方QQ群（群号：1022334685，备注“学院+姓名”），后续彩排、抽签、赛程等事宜均在群内发布。</w:t>
      </w:r>
    </w:p>
    <w:p w14:paraId="71F808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六、奖项设置与组织安排</w:t>
      </w:r>
    </w:p>
    <w:p w14:paraId="2156D64E">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eastAsia" w:ascii="Times New Roman" w:hAnsi="Times New Roman" w:eastAsia="楷体" w:cs="Times New Roman"/>
          <w:b w:val="0"/>
          <w:bCs w:val="0"/>
          <w:sz w:val="32"/>
          <w:szCs w:val="32"/>
          <w:lang w:val="zh-CN" w:eastAsia="zh-CN"/>
        </w:rPr>
      </w:pPr>
      <w:r>
        <w:rPr>
          <w:rFonts w:hint="default" w:ascii="Times New Roman" w:hAnsi="Times New Roman" w:eastAsia="楷体" w:cs="Times New Roman"/>
          <w:b w:val="0"/>
          <w:bCs w:val="0"/>
          <w:sz w:val="32"/>
          <w:szCs w:val="32"/>
          <w:lang w:val="en-US" w:eastAsia="zh-CN"/>
        </w:rPr>
        <w:t>（一）吉首校区职业礼仪风采大赛</w:t>
      </w:r>
      <w:r>
        <w:rPr>
          <w:rFonts w:hint="eastAsia" w:ascii="Times New Roman" w:hAnsi="Times New Roman" w:eastAsia="楷体" w:cs="Times New Roman"/>
          <w:b w:val="0"/>
          <w:bCs w:val="0"/>
          <w:sz w:val="32"/>
          <w:szCs w:val="32"/>
          <w:lang w:val="en-US" w:eastAsia="zh-CN"/>
        </w:rPr>
        <w:t>奖项设置</w:t>
      </w:r>
    </w:p>
    <w:p w14:paraId="48B45E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一等奖1项，颁发荣誉证书及奖金1000元；</w:t>
      </w:r>
    </w:p>
    <w:p w14:paraId="78D710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二等奖2项，颁发荣誉证书及奖金600元；</w:t>
      </w:r>
    </w:p>
    <w:p w14:paraId="6C29FD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三等奖3项，颁发荣誉证书及奖金400元；</w:t>
      </w:r>
    </w:p>
    <w:p w14:paraId="36E8C4C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优胜奖若干，颁发荣誉证书。</w:t>
      </w:r>
    </w:p>
    <w:p w14:paraId="185377E2">
      <w:pPr>
        <w:keepNext w:val="0"/>
        <w:keepLines w:val="0"/>
        <w:pageBreakBefore w:val="0"/>
        <w:widowControl/>
        <w:numPr>
          <w:ilvl w:val="0"/>
          <w:numId w:val="0"/>
        </w:numPr>
        <w:kinsoku/>
        <w:wordWrap/>
        <w:overflowPunct/>
        <w:topLinePunct w:val="0"/>
        <w:bidi w:val="0"/>
        <w:spacing w:line="576"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eastAsia" w:ascii="Times New Roman" w:hAnsi="Times New Roman" w:eastAsia="楷体" w:cs="Times New Roman"/>
          <w:b w:val="0"/>
          <w:bCs w:val="0"/>
          <w:sz w:val="32"/>
          <w:szCs w:val="32"/>
          <w:lang w:val="en-US" w:eastAsia="zh-CN"/>
        </w:rPr>
        <w:t>（二）</w:t>
      </w:r>
      <w:r>
        <w:rPr>
          <w:rFonts w:hint="default" w:ascii="Times New Roman" w:hAnsi="Times New Roman" w:eastAsia="楷体" w:cs="Times New Roman"/>
          <w:b w:val="0"/>
          <w:bCs w:val="0"/>
          <w:sz w:val="32"/>
          <w:szCs w:val="32"/>
          <w:lang w:val="en-US" w:eastAsia="zh-CN"/>
        </w:rPr>
        <w:t>张家界校区安排</w:t>
      </w:r>
    </w:p>
    <w:p w14:paraId="1CCE4E3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本次活动分校区进行，张家界校区的活动事宜及奖项设置由旅游学院团委另行制定并通知。</w:t>
      </w:r>
    </w:p>
    <w:p w14:paraId="7CE85C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七、活动要求</w:t>
      </w:r>
    </w:p>
    <w:p w14:paraId="5EA6049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楷体" w:cs="Times New Roman"/>
          <w:b w:val="0"/>
          <w:bCs w:val="0"/>
          <w:sz w:val="32"/>
          <w:szCs w:val="32"/>
          <w:lang w:val="en-US" w:eastAsia="zh-CN"/>
        </w:rPr>
        <w:t>（一）强化组织，落实责任。</w:t>
      </w:r>
      <w:r>
        <w:rPr>
          <w:rFonts w:hint="eastAsia" w:ascii="Times New Roman" w:hAnsi="Times New Roman" w:eastAsia="仿宋_GB2312" w:cs="Times New Roman"/>
          <w:b w:val="0"/>
          <w:bCs w:val="0"/>
          <w:sz w:val="32"/>
          <w:szCs w:val="32"/>
          <w:vertAlign w:val="baseline"/>
          <w:lang w:val="en-US" w:eastAsia="zh-CN"/>
        </w:rPr>
        <w:t>各学院需高度重视，明确负责人，精心策划本院动员与推荐工作，确保活动通知到位、组织有序。</w:t>
      </w:r>
    </w:p>
    <w:p w14:paraId="5D4A449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楷体" w:cs="Times New Roman"/>
          <w:b w:val="0"/>
          <w:bCs w:val="0"/>
          <w:sz w:val="32"/>
          <w:szCs w:val="32"/>
          <w:lang w:val="en-US" w:eastAsia="zh-CN"/>
        </w:rPr>
        <w:t>（二）加强指导，保障质量。</w:t>
      </w:r>
      <w:r>
        <w:rPr>
          <w:rFonts w:hint="eastAsia" w:ascii="Times New Roman" w:hAnsi="Times New Roman" w:eastAsia="仿宋_GB2312" w:cs="Times New Roman"/>
          <w:b w:val="0"/>
          <w:bCs w:val="0"/>
          <w:sz w:val="32"/>
          <w:szCs w:val="32"/>
          <w:vertAlign w:val="baseline"/>
          <w:lang w:val="en-US" w:eastAsia="zh-CN"/>
        </w:rPr>
        <w:t>各学院应为参赛学生提供必要的支持和专业性指导，对节目内容进行把关，确保作品紧扣主题、积极向上。</w:t>
      </w:r>
    </w:p>
    <w:p w14:paraId="485647F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楷体" w:cs="Times New Roman"/>
          <w:b w:val="0"/>
          <w:bCs w:val="0"/>
          <w:sz w:val="32"/>
          <w:szCs w:val="32"/>
          <w:lang w:val="en-US" w:eastAsia="zh-CN"/>
        </w:rPr>
        <w:t>（三）恪尽职守，保障安全。</w:t>
      </w:r>
      <w:r>
        <w:rPr>
          <w:rFonts w:hint="eastAsia" w:ascii="Times New Roman" w:hAnsi="Times New Roman" w:eastAsia="仿宋_GB2312" w:cs="Times New Roman"/>
          <w:b w:val="0"/>
          <w:bCs w:val="0"/>
          <w:sz w:val="32"/>
          <w:szCs w:val="32"/>
          <w:vertAlign w:val="baseline"/>
          <w:lang w:val="en-US" w:eastAsia="zh-CN"/>
        </w:rPr>
        <w:t>所有工作人员须熟悉流程，坚守岗位，密切配合，注意维持现场秩序，确保各项活动安全、顺利进行。</w:t>
      </w:r>
    </w:p>
    <w:p w14:paraId="24C623B2">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sz w:val="32"/>
          <w:szCs w:val="32"/>
          <w:lang w:val="en-US" w:eastAsia="zh-CN"/>
        </w:rPr>
      </w:pPr>
    </w:p>
    <w:p w14:paraId="1C4B8E1E">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附件：1.吉首大学第九届职业礼仪风采大赛</w:t>
      </w:r>
      <w:r>
        <w:rPr>
          <w:rFonts w:hint="eastAsia" w:ascii="Times New Roman" w:hAnsi="Times New Roman" w:eastAsia="仿宋_GB2312" w:cs="Times New Roman"/>
          <w:sz w:val="32"/>
          <w:szCs w:val="32"/>
        </w:rPr>
        <w:t>报名表</w:t>
      </w:r>
    </w:p>
    <w:p w14:paraId="4AFD80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1280" w:firstLineChars="4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2.吉首大学第九届职业礼仪风采大赛评分细则</w:t>
      </w:r>
    </w:p>
    <w:p w14:paraId="68A6AE3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（此页无正文）</w:t>
      </w:r>
    </w:p>
    <w:p w14:paraId="46E71B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Times New Roman" w:hAnsi="Times New Roman" w:eastAsia="仿宋_GB2312" w:cs="Times New Roman"/>
          <w:b w:val="0"/>
          <w:bCs w:val="0"/>
          <w:sz w:val="32"/>
          <w:szCs w:val="32"/>
          <w:lang w:val="en-US" w:eastAsia="zh-CN"/>
        </w:rPr>
      </w:pPr>
    </w:p>
    <w:p w14:paraId="0EF15DFC">
      <w:pPr>
        <w:keepNext w:val="0"/>
        <w:keepLines w:val="0"/>
        <w:pageBreakBefore w:val="0"/>
        <w:kinsoku/>
        <w:wordWrap w:val="0"/>
        <w:overflowPunct/>
        <w:topLinePunct w:val="0"/>
        <w:bidi w:val="0"/>
        <w:spacing w:line="576" w:lineRule="exact"/>
        <w:ind w:firstLine="4800" w:firstLineChars="15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共青团吉首大学委员</w:t>
      </w:r>
      <w:r>
        <w:rPr>
          <w:rFonts w:hint="eastAsia" w:ascii="Times New Roman" w:hAnsi="Times New Roman" w:eastAsia="仿宋_GB2312" w:cs="Times New Roman"/>
          <w:sz w:val="32"/>
          <w:szCs w:val="32"/>
          <w:lang w:val="en-US" w:eastAsia="zh-CN"/>
        </w:rPr>
        <w:t xml:space="preserve">会    </w:t>
      </w:r>
    </w:p>
    <w:p w14:paraId="6BCEA7D3">
      <w:pPr>
        <w:keepNext w:val="0"/>
        <w:keepLines w:val="0"/>
        <w:pageBreakBefore w:val="0"/>
        <w:kinsoku/>
        <w:wordWrap w:val="0"/>
        <w:overflowPunct/>
        <w:topLinePunct w:val="0"/>
        <w:bidi w:val="0"/>
        <w:spacing w:line="576" w:lineRule="exact"/>
        <w:ind w:firstLine="5120" w:firstLineChars="16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年11月</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14:paraId="70BD751B">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2778285E">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jc w:val="left"/>
        <w:textAlignment w:val="auto"/>
        <w:rPr>
          <w:rFonts w:hint="eastAsia" w:ascii="Times New Roman" w:hAnsi="Times New Roman" w:eastAsia="方正小标宋简体" w:cs="Times New Roman"/>
          <w:b w:val="0"/>
          <w:bCs w:val="0"/>
          <w:sz w:val="32"/>
          <w:szCs w:val="32"/>
        </w:rPr>
      </w:pPr>
      <w:r>
        <w:rPr>
          <w:rFonts w:hint="eastAsia" w:ascii="Times New Roman" w:hAnsi="Times New Roman" w:eastAsia="黑体" w:cs="Times New Roman"/>
          <w:kern w:val="2"/>
          <w:sz w:val="32"/>
          <w:szCs w:val="32"/>
          <w:lang w:val="en-US" w:eastAsia="zh-CN" w:bidi="ar-SA"/>
        </w:rPr>
        <w:t>附件1</w:t>
      </w:r>
    </w:p>
    <w:p w14:paraId="66F84BBE">
      <w:pPr>
        <w:jc w:val="center"/>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吉首大学第九届职业礼仪风采大赛报名表</w:t>
      </w:r>
    </w:p>
    <w:tbl>
      <w:tblPr>
        <w:tblStyle w:val="7"/>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466"/>
        <w:gridCol w:w="836"/>
        <w:gridCol w:w="737"/>
        <w:gridCol w:w="1773"/>
        <w:gridCol w:w="2479"/>
      </w:tblGrid>
      <w:tr w14:paraId="5355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Align w:val="center"/>
          </w:tcPr>
          <w:p w14:paraId="076AD5E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eastAsia="zh-CN"/>
              </w:rPr>
              <w:t>团队</w:t>
            </w:r>
            <w:r>
              <w:rPr>
                <w:rFonts w:hint="eastAsia" w:ascii="Times New Roman" w:hAnsi="Times New Roman" w:eastAsia="仿宋_GB2312" w:cs="Times New Roman"/>
                <w:b w:val="0"/>
                <w:bCs/>
                <w:sz w:val="32"/>
                <w:szCs w:val="32"/>
              </w:rPr>
              <w:t>名称</w:t>
            </w:r>
          </w:p>
        </w:tc>
        <w:tc>
          <w:tcPr>
            <w:tcW w:w="2302" w:type="dxa"/>
            <w:gridSpan w:val="2"/>
            <w:vAlign w:val="center"/>
          </w:tcPr>
          <w:p w14:paraId="0E558EBC">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510" w:type="dxa"/>
            <w:gridSpan w:val="2"/>
            <w:vAlign w:val="center"/>
          </w:tcPr>
          <w:p w14:paraId="16E2926A">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eastAsia="zh-CN"/>
              </w:rPr>
              <w:t>团队</w:t>
            </w:r>
            <w:r>
              <w:rPr>
                <w:rFonts w:hint="eastAsia" w:ascii="Times New Roman" w:hAnsi="Times New Roman" w:eastAsia="仿宋_GB2312" w:cs="Times New Roman"/>
                <w:b w:val="0"/>
                <w:bCs/>
                <w:sz w:val="32"/>
                <w:szCs w:val="32"/>
              </w:rPr>
              <w:t>人数</w:t>
            </w:r>
          </w:p>
        </w:tc>
        <w:tc>
          <w:tcPr>
            <w:tcW w:w="2479" w:type="dxa"/>
            <w:vAlign w:val="center"/>
          </w:tcPr>
          <w:p w14:paraId="061B5C59">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2593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Align w:val="center"/>
          </w:tcPr>
          <w:p w14:paraId="0C10EAF4">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rPr>
              <w:t>负责人</w:t>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lang w:val="en-US" w:eastAsia="zh-CN"/>
              </w:rPr>
              <w:t>姓名</w:t>
            </w:r>
          </w:p>
        </w:tc>
        <w:tc>
          <w:tcPr>
            <w:tcW w:w="2302" w:type="dxa"/>
            <w:gridSpan w:val="2"/>
            <w:vAlign w:val="center"/>
          </w:tcPr>
          <w:p w14:paraId="57639CB1">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sz w:val="32"/>
                <w:szCs w:val="32"/>
              </w:rPr>
            </w:pPr>
          </w:p>
        </w:tc>
        <w:tc>
          <w:tcPr>
            <w:tcW w:w="2510" w:type="dxa"/>
            <w:gridSpan w:val="2"/>
            <w:vAlign w:val="center"/>
          </w:tcPr>
          <w:p w14:paraId="7B47ED67">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负责人联系方式</w:t>
            </w:r>
          </w:p>
        </w:tc>
        <w:tc>
          <w:tcPr>
            <w:tcW w:w="2479" w:type="dxa"/>
            <w:vAlign w:val="center"/>
          </w:tcPr>
          <w:p w14:paraId="5E4F05BF">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sz w:val="32"/>
                <w:szCs w:val="32"/>
              </w:rPr>
            </w:pPr>
          </w:p>
        </w:tc>
      </w:tr>
      <w:tr w14:paraId="0522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Align w:val="center"/>
          </w:tcPr>
          <w:p w14:paraId="2D351B5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展示形式</w:t>
            </w:r>
          </w:p>
        </w:tc>
        <w:tc>
          <w:tcPr>
            <w:tcW w:w="7291" w:type="dxa"/>
            <w:gridSpan w:val="5"/>
            <w:vAlign w:val="center"/>
          </w:tcPr>
          <w:p w14:paraId="19C5043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475A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Align w:val="center"/>
          </w:tcPr>
          <w:p w14:paraId="386648A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指导老师</w:t>
            </w:r>
          </w:p>
        </w:tc>
        <w:tc>
          <w:tcPr>
            <w:tcW w:w="7291" w:type="dxa"/>
            <w:gridSpan w:val="5"/>
            <w:vAlign w:val="center"/>
          </w:tcPr>
          <w:p w14:paraId="63C0D2C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6F46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restart"/>
            <w:vAlign w:val="center"/>
          </w:tcPr>
          <w:p w14:paraId="4FB162B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队员信息</w:t>
            </w:r>
          </w:p>
        </w:tc>
        <w:tc>
          <w:tcPr>
            <w:tcW w:w="1466" w:type="dxa"/>
            <w:vAlign w:val="center"/>
          </w:tcPr>
          <w:p w14:paraId="7F84970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姓名</w:t>
            </w:r>
          </w:p>
        </w:tc>
        <w:tc>
          <w:tcPr>
            <w:tcW w:w="1573" w:type="dxa"/>
            <w:gridSpan w:val="2"/>
            <w:vAlign w:val="center"/>
          </w:tcPr>
          <w:p w14:paraId="078DEB5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性别</w:t>
            </w:r>
          </w:p>
        </w:tc>
        <w:tc>
          <w:tcPr>
            <w:tcW w:w="1773" w:type="dxa"/>
            <w:vAlign w:val="center"/>
          </w:tcPr>
          <w:p w14:paraId="7AE11891">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姓名</w:t>
            </w:r>
          </w:p>
        </w:tc>
        <w:tc>
          <w:tcPr>
            <w:tcW w:w="2479" w:type="dxa"/>
            <w:vAlign w:val="center"/>
          </w:tcPr>
          <w:p w14:paraId="4939B262">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性别</w:t>
            </w:r>
          </w:p>
        </w:tc>
      </w:tr>
      <w:tr w14:paraId="230F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18E71B79">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669FEE4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3E66B9D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2FBDF60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5FD8C3D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2B6F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7917F36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018F59AE">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4B72B99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2B0DEA0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077F809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4505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6936E63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5AB72A6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71F9F99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61E551B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144CDF4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4673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12EFB3D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4A5326A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141051E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43FCD44E">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2B50D76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38CA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726C9A6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729908F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266DF99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1749173C">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7EF1E44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2FC1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16C143B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5B45319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62565F32">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3690365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40CF0AC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615E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0" w:hRule="atLeast"/>
          <w:jc w:val="center"/>
        </w:trPr>
        <w:tc>
          <w:tcPr>
            <w:tcW w:w="1579" w:type="dxa"/>
            <w:vMerge w:val="continue"/>
            <w:vAlign w:val="center"/>
          </w:tcPr>
          <w:p w14:paraId="0F2F2FF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7789FE2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0C804A2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72CC61E9">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5103D83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4F5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569F3D79">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0E61FC39">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2AF4CBA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1432C62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04C1784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7C99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Merge w:val="continue"/>
            <w:vAlign w:val="center"/>
          </w:tcPr>
          <w:p w14:paraId="43A106D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4243AFA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1DC52A6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6D46C67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619295A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1693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0" w:hRule="atLeast"/>
          <w:jc w:val="center"/>
        </w:trPr>
        <w:tc>
          <w:tcPr>
            <w:tcW w:w="1579" w:type="dxa"/>
            <w:vMerge w:val="continue"/>
            <w:vAlign w:val="center"/>
          </w:tcPr>
          <w:p w14:paraId="7EE74E2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466" w:type="dxa"/>
            <w:vAlign w:val="center"/>
          </w:tcPr>
          <w:p w14:paraId="43EE13A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573" w:type="dxa"/>
            <w:gridSpan w:val="2"/>
            <w:vAlign w:val="center"/>
          </w:tcPr>
          <w:p w14:paraId="3F778297">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1773" w:type="dxa"/>
            <w:vAlign w:val="center"/>
          </w:tcPr>
          <w:p w14:paraId="32B5AE3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c>
          <w:tcPr>
            <w:tcW w:w="2479" w:type="dxa"/>
            <w:vAlign w:val="center"/>
          </w:tcPr>
          <w:p w14:paraId="27CFBD6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rPr>
            </w:pPr>
          </w:p>
        </w:tc>
      </w:tr>
      <w:tr w14:paraId="53B6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79" w:type="dxa"/>
            <w:vAlign w:val="center"/>
          </w:tcPr>
          <w:p w14:paraId="47E1850A">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rPr>
              <w:t>所需道具</w:t>
            </w:r>
            <w:r>
              <w:rPr>
                <w:rFonts w:hint="eastAsia" w:ascii="Times New Roman" w:hAnsi="Times New Roman" w:eastAsia="仿宋_GB2312" w:cs="Times New Roman"/>
                <w:b w:val="0"/>
                <w:bCs/>
                <w:sz w:val="32"/>
                <w:szCs w:val="32"/>
                <w:lang w:val="en-US" w:eastAsia="zh-CN"/>
              </w:rPr>
              <w:t>及具体数量</w:t>
            </w:r>
          </w:p>
        </w:tc>
        <w:tc>
          <w:tcPr>
            <w:tcW w:w="7291" w:type="dxa"/>
            <w:gridSpan w:val="5"/>
            <w:vAlign w:val="center"/>
          </w:tcPr>
          <w:p w14:paraId="2A29DC73">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b w:val="0"/>
                <w:bCs/>
                <w:sz w:val="32"/>
                <w:szCs w:val="32"/>
              </w:rPr>
            </w:pPr>
          </w:p>
        </w:tc>
      </w:tr>
    </w:tbl>
    <w:p w14:paraId="759FB001">
      <w:pPr>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br w:type="page"/>
      </w:r>
    </w:p>
    <w:p w14:paraId="3E134A01">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6" w:lineRule="exact"/>
        <w:jc w:val="left"/>
        <w:textAlignment w:val="auto"/>
        <w:rPr>
          <w:rFonts w:hint="eastAsia" w:ascii="Times New Roman" w:hAnsi="Times New Roman" w:eastAsia="黑体" w:cs="Times New Roman"/>
          <w:kern w:val="2"/>
          <w:sz w:val="32"/>
          <w:szCs w:val="32"/>
          <w:lang w:val="en-US" w:eastAsia="zh-CN" w:bidi="ar-SA"/>
        </w:rPr>
      </w:pPr>
      <w:bookmarkStart w:id="2" w:name="_GoBack"/>
      <w:bookmarkEnd w:id="2"/>
      <w:r>
        <w:rPr>
          <w:rFonts w:hint="eastAsia" w:ascii="Times New Roman" w:hAnsi="Times New Roman" w:eastAsia="黑体" w:cs="Times New Roman"/>
          <w:kern w:val="2"/>
          <w:sz w:val="32"/>
          <w:szCs w:val="32"/>
          <w:lang w:val="en-US" w:eastAsia="zh-CN" w:bidi="ar-SA"/>
        </w:rPr>
        <w:t>附件2</w:t>
      </w:r>
    </w:p>
    <w:p w14:paraId="317B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吉首大学第九届职业礼仪风采大赛</w:t>
      </w:r>
    </w:p>
    <w:p w14:paraId="6FB832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评分细则</w:t>
      </w:r>
    </w:p>
    <w:tbl>
      <w:tblPr>
        <w:tblStyle w:val="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Layout w:type="fixed"/>
        <w:tblCellMar>
          <w:top w:w="0" w:type="dxa"/>
          <w:left w:w="0" w:type="dxa"/>
          <w:bottom w:w="0" w:type="dxa"/>
          <w:right w:w="0" w:type="dxa"/>
        </w:tblCellMar>
      </w:tblPr>
      <w:tblGrid>
        <w:gridCol w:w="1751"/>
        <w:gridCol w:w="1110"/>
        <w:gridCol w:w="6418"/>
      </w:tblGrid>
      <w:tr w14:paraId="414B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tblHeader/>
          <w:jc w:val="center"/>
        </w:trPr>
        <w:tc>
          <w:tcPr>
            <w:tcW w:w="1751" w:type="dxa"/>
            <w:shd w:val="clear" w:color="auto" w:fill="EDEDED"/>
            <w:tcMar>
              <w:top w:w="158" w:type="dxa"/>
              <w:left w:w="210" w:type="dxa"/>
              <w:bottom w:w="158" w:type="dxa"/>
              <w:right w:w="210" w:type="dxa"/>
            </w:tcMar>
            <w:vAlign w:val="center"/>
          </w:tcPr>
          <w:p w14:paraId="72DC5E9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维度</w:t>
            </w:r>
          </w:p>
        </w:tc>
        <w:tc>
          <w:tcPr>
            <w:tcW w:w="1110" w:type="dxa"/>
            <w:shd w:val="clear" w:color="auto" w:fill="EDEDED"/>
            <w:tcMar>
              <w:top w:w="158" w:type="dxa"/>
              <w:left w:w="210" w:type="dxa"/>
              <w:bottom w:w="158" w:type="dxa"/>
              <w:right w:w="210" w:type="dxa"/>
            </w:tcMar>
            <w:vAlign w:val="center"/>
          </w:tcPr>
          <w:p w14:paraId="23D895D0">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分值</w:t>
            </w:r>
          </w:p>
        </w:tc>
        <w:tc>
          <w:tcPr>
            <w:tcW w:w="6418" w:type="dxa"/>
            <w:shd w:val="clear" w:color="auto" w:fill="EDEDED"/>
            <w:tcMar>
              <w:top w:w="158" w:type="dxa"/>
              <w:left w:w="210" w:type="dxa"/>
              <w:bottom w:w="158" w:type="dxa"/>
              <w:right w:w="210" w:type="dxa"/>
            </w:tcMar>
            <w:vAlign w:val="center"/>
          </w:tcPr>
          <w:p w14:paraId="29E3170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评分标准描述</w:t>
            </w:r>
          </w:p>
        </w:tc>
      </w:tr>
      <w:tr w14:paraId="5F9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jc w:val="center"/>
        </w:trPr>
        <w:tc>
          <w:tcPr>
            <w:tcW w:w="1751" w:type="dxa"/>
            <w:shd w:val="clear" w:color="auto" w:fill="FFFFFF"/>
            <w:tcMar>
              <w:top w:w="158" w:type="dxa"/>
              <w:left w:w="210" w:type="dxa"/>
              <w:bottom w:w="158" w:type="dxa"/>
              <w:right w:w="210" w:type="dxa"/>
            </w:tcMar>
            <w:vAlign w:val="center"/>
          </w:tcPr>
          <w:p w14:paraId="71B91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1.礼仪规范与专业契合度</w:t>
            </w:r>
            <w:r>
              <w:rPr>
                <w:rFonts w:hint="eastAsia" w:ascii="Times New Roman" w:hAnsi="Times New Roman" w:eastAsia="仿宋_GB2312" w:cs="Times New Roman"/>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58F3A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35分</w:t>
            </w:r>
          </w:p>
        </w:tc>
        <w:tc>
          <w:tcPr>
            <w:tcW w:w="6418" w:type="dxa"/>
            <w:shd w:val="clear" w:color="auto" w:fill="FFFFFF"/>
            <w:tcMar>
              <w:top w:w="158" w:type="dxa"/>
              <w:left w:w="210" w:type="dxa"/>
              <w:bottom w:w="158" w:type="dxa"/>
              <w:right w:w="210" w:type="dxa"/>
            </w:tcMar>
            <w:vAlign w:val="center"/>
          </w:tcPr>
          <w:p w14:paraId="30373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仿宋_GB2312" w:cs="Times New Roman"/>
                <w:i w:val="0"/>
                <w:caps w:val="0"/>
                <w:spacing w:val="0"/>
                <w:kern w:val="0"/>
                <w:sz w:val="32"/>
                <w:szCs w:val="32"/>
                <w:lang w:val="en-US" w:eastAsia="zh-CN" w:bidi="ar"/>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礼仪标准性 (20分)：</w:t>
            </w:r>
            <w:r>
              <w:rPr>
                <w:rFonts w:hint="eastAsia" w:ascii="Times New Roman" w:hAnsi="Times New Roman" w:eastAsia="仿宋_GB2312" w:cs="Times New Roman"/>
                <w:i w:val="0"/>
                <w:caps w:val="0"/>
                <w:spacing w:val="0"/>
                <w:kern w:val="0"/>
                <w:sz w:val="32"/>
                <w:szCs w:val="32"/>
                <w:lang w:val="en-US" w:eastAsia="zh-CN" w:bidi="ar"/>
              </w:rPr>
              <w:t>仪容、仪表、仪态（站姿、坐姿、手势、行姿）是否符合特定职业场景的规范要求，动作自然、优雅、得体。</w:t>
            </w:r>
          </w:p>
          <w:p w14:paraId="17A26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专业契合度 (15分)：</w:t>
            </w:r>
            <w:r>
              <w:rPr>
                <w:rFonts w:hint="eastAsia" w:ascii="Times New Roman" w:hAnsi="Times New Roman" w:eastAsia="仿宋_GB2312" w:cs="Times New Roman"/>
                <w:i w:val="0"/>
                <w:caps w:val="0"/>
                <w:spacing w:val="0"/>
                <w:kern w:val="0"/>
                <w:sz w:val="32"/>
                <w:szCs w:val="32"/>
                <w:lang w:val="en-US" w:eastAsia="zh-CN" w:bidi="ar"/>
              </w:rPr>
              <w:t>节目设计与表演是否深度融入学院专业特色，准确反映未来职业的真实礼仪需求和挑战。</w:t>
            </w:r>
          </w:p>
        </w:tc>
      </w:tr>
      <w:tr w14:paraId="11A3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jc w:val="center"/>
        </w:trPr>
        <w:tc>
          <w:tcPr>
            <w:tcW w:w="1751" w:type="dxa"/>
            <w:shd w:val="clear" w:color="auto" w:fill="FFFFFF"/>
            <w:tcMar>
              <w:top w:w="158" w:type="dxa"/>
              <w:left w:w="210" w:type="dxa"/>
              <w:bottom w:w="158" w:type="dxa"/>
              <w:right w:w="210" w:type="dxa"/>
            </w:tcMar>
            <w:vAlign w:val="center"/>
          </w:tcPr>
          <w:p w14:paraId="6B4F1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Style w:val="10"/>
                <w:rFonts w:hint="eastAsia" w:ascii="Times New Roman" w:hAnsi="Times New Roman" w:eastAsia="仿宋_GB2312" w:cs="Times New Roman"/>
                <w:b/>
                <w:i w:val="0"/>
                <w:caps w:val="0"/>
                <w:spacing w:val="0"/>
                <w:kern w:val="0"/>
                <w:sz w:val="32"/>
                <w:szCs w:val="32"/>
                <w:vertAlign w:val="baseline"/>
                <w:lang w:val="en-US" w:eastAsia="zh-CN" w:bidi="ar"/>
              </w:rPr>
            </w:pPr>
          </w:p>
          <w:p w14:paraId="1A7B6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2.内容构思与主题表达</w:t>
            </w:r>
            <w:r>
              <w:rPr>
                <w:rFonts w:hint="eastAsia" w:ascii="Times New Roman" w:hAnsi="Times New Roman" w:eastAsia="仿宋_GB2312" w:cs="Times New Roman"/>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6C73F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30分</w:t>
            </w:r>
          </w:p>
        </w:tc>
        <w:tc>
          <w:tcPr>
            <w:tcW w:w="6418" w:type="dxa"/>
            <w:shd w:val="clear" w:color="auto" w:fill="FFFFFF"/>
            <w:tcMar>
              <w:top w:w="158" w:type="dxa"/>
              <w:left w:w="210" w:type="dxa"/>
              <w:bottom w:w="158" w:type="dxa"/>
              <w:right w:w="210" w:type="dxa"/>
            </w:tcMar>
            <w:vAlign w:val="center"/>
          </w:tcPr>
          <w:p w14:paraId="04563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仿宋_GB2312" w:cs="Times New Roman"/>
                <w:i w:val="0"/>
                <w:caps w:val="0"/>
                <w:spacing w:val="0"/>
                <w:kern w:val="0"/>
                <w:sz w:val="32"/>
                <w:szCs w:val="32"/>
                <w:lang w:val="en-US" w:eastAsia="zh-CN" w:bidi="ar"/>
              </w:rPr>
            </w:pPr>
            <w:r>
              <w:rPr>
                <w:rFonts w:hint="eastAsia" w:ascii="Times New Roman" w:hAnsi="Times New Roman" w:eastAsia="仿宋_GB2312" w:cs="Times New Roman"/>
                <w:b/>
                <w:bCs/>
                <w:i w:val="0"/>
                <w:caps w:val="0"/>
                <w:spacing w:val="0"/>
                <w:kern w:val="0"/>
                <w:sz w:val="32"/>
                <w:szCs w:val="32"/>
                <w:lang w:val="en-US" w:eastAsia="zh-CN" w:bidi="ar"/>
              </w:rPr>
              <w:t xml:space="preserve">内容连贯性 </w:t>
            </w:r>
            <w:r>
              <w:rPr>
                <w:rStyle w:val="10"/>
                <w:rFonts w:hint="eastAsia" w:ascii="Times New Roman" w:hAnsi="Times New Roman" w:eastAsia="仿宋_GB2312" w:cs="Times New Roman"/>
                <w:b/>
                <w:bCs/>
                <w:i w:val="0"/>
                <w:caps w:val="0"/>
                <w:spacing w:val="0"/>
                <w:kern w:val="0"/>
                <w:sz w:val="32"/>
                <w:szCs w:val="32"/>
                <w:vertAlign w:val="baseline"/>
                <w:lang w:val="en-US" w:eastAsia="zh-CN" w:bidi="ar"/>
              </w:rPr>
              <w:t>(15分)</w:t>
            </w:r>
            <w:r>
              <w:rPr>
                <w:rStyle w:val="10"/>
                <w:rFonts w:hint="eastAsia" w:ascii="Times New Roman" w:hAnsi="Times New Roman" w:eastAsia="仿宋_GB2312" w:cs="Times New Roman"/>
                <w:b/>
                <w:i w:val="0"/>
                <w:caps w:val="0"/>
                <w:spacing w:val="0"/>
                <w:kern w:val="0"/>
                <w:sz w:val="32"/>
                <w:szCs w:val="32"/>
                <w:vertAlign w:val="baseline"/>
                <w:lang w:val="en-US" w:eastAsia="zh-CN" w:bidi="ar"/>
              </w:rPr>
              <w:t>：</w:t>
            </w:r>
            <w:r>
              <w:rPr>
                <w:rFonts w:hint="eastAsia" w:ascii="Times New Roman" w:hAnsi="Times New Roman" w:eastAsia="仿宋_GB2312" w:cs="Times New Roman"/>
                <w:i w:val="0"/>
                <w:caps w:val="0"/>
                <w:spacing w:val="0"/>
                <w:kern w:val="0"/>
                <w:sz w:val="32"/>
                <w:szCs w:val="32"/>
                <w:lang w:val="en-US" w:eastAsia="zh-CN" w:bidi="ar"/>
              </w:rPr>
              <w:t>表演内容（如情节、环节、动作编排）是否完整、连贯、有逻辑。</w:t>
            </w:r>
          </w:p>
          <w:p w14:paraId="6D375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主题立意 (15分)：</w:t>
            </w:r>
            <w:r>
              <w:rPr>
                <w:rFonts w:hint="eastAsia" w:ascii="Times New Roman" w:hAnsi="Times New Roman" w:eastAsia="仿宋_GB2312" w:cs="Times New Roman"/>
                <w:i w:val="0"/>
                <w:caps w:val="0"/>
                <w:spacing w:val="0"/>
                <w:kern w:val="0"/>
                <w:sz w:val="32"/>
                <w:szCs w:val="32"/>
                <w:lang w:val="en-US" w:eastAsia="zh-CN" w:bidi="ar"/>
              </w:rPr>
              <w:t>主题思想是否积极向上，能否清晰传达职业礼仪的重要性及其背后的尊重、专业等文化内涵。</w:t>
            </w:r>
          </w:p>
        </w:tc>
      </w:tr>
      <w:tr w14:paraId="5224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51" w:type="dxa"/>
            <w:shd w:val="clear" w:color="auto" w:fill="FFFFFF"/>
            <w:tcMar>
              <w:top w:w="158" w:type="dxa"/>
              <w:left w:w="210" w:type="dxa"/>
              <w:bottom w:w="158" w:type="dxa"/>
              <w:right w:w="210" w:type="dxa"/>
            </w:tcMar>
            <w:vAlign w:val="center"/>
          </w:tcPr>
          <w:p w14:paraId="52F21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Style w:val="10"/>
                <w:rFonts w:hint="eastAsia" w:ascii="Times New Roman" w:hAnsi="Times New Roman" w:eastAsia="仿宋_GB2312" w:cs="Times New Roman"/>
                <w:b/>
                <w:i w:val="0"/>
                <w:caps w:val="0"/>
                <w:spacing w:val="0"/>
                <w:kern w:val="0"/>
                <w:sz w:val="32"/>
                <w:szCs w:val="32"/>
                <w:vertAlign w:val="baseline"/>
                <w:lang w:val="en-US" w:eastAsia="zh-CN" w:bidi="ar"/>
              </w:rPr>
            </w:pPr>
          </w:p>
          <w:p w14:paraId="48E3C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3.表演呈现与团队协作</w:t>
            </w:r>
            <w:r>
              <w:rPr>
                <w:rFonts w:hint="eastAsia" w:ascii="Times New Roman" w:hAnsi="Times New Roman" w:eastAsia="仿宋_GB2312" w:cs="Times New Roman"/>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1039F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Style w:val="10"/>
                <w:rFonts w:hint="eastAsia" w:ascii="Times New Roman" w:hAnsi="Times New Roman" w:eastAsia="仿宋_GB2312" w:cs="Times New Roman"/>
                <w:b/>
                <w:i w:val="0"/>
                <w:caps w:val="0"/>
                <w:spacing w:val="0"/>
                <w:kern w:val="0"/>
                <w:sz w:val="32"/>
                <w:szCs w:val="32"/>
                <w:vertAlign w:val="baseline"/>
                <w:lang w:val="en-US" w:eastAsia="zh-CN" w:bidi="ar"/>
              </w:rPr>
            </w:pPr>
          </w:p>
          <w:p w14:paraId="62E16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25分</w:t>
            </w:r>
            <w:r>
              <w:rPr>
                <w:rFonts w:hint="eastAsia" w:ascii="Times New Roman" w:hAnsi="Times New Roman" w:eastAsia="仿宋_GB2312" w:cs="Times New Roman"/>
                <w:i w:val="0"/>
                <w:caps w:val="0"/>
                <w:spacing w:val="0"/>
                <w:kern w:val="0"/>
                <w:sz w:val="32"/>
                <w:szCs w:val="32"/>
                <w:lang w:val="en-US" w:eastAsia="zh-CN" w:bidi="ar"/>
              </w:rPr>
              <w:t>​</w:t>
            </w:r>
          </w:p>
        </w:tc>
        <w:tc>
          <w:tcPr>
            <w:tcW w:w="6418" w:type="dxa"/>
            <w:shd w:val="clear" w:color="auto" w:fill="FFFFFF"/>
            <w:tcMar>
              <w:top w:w="158" w:type="dxa"/>
              <w:left w:w="210" w:type="dxa"/>
              <w:bottom w:w="158" w:type="dxa"/>
              <w:right w:w="210" w:type="dxa"/>
            </w:tcMar>
            <w:vAlign w:val="center"/>
          </w:tcPr>
          <w:p w14:paraId="44442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仿宋_GB2312" w:cs="Times New Roman"/>
                <w:i w:val="0"/>
                <w:caps w:val="0"/>
                <w:spacing w:val="0"/>
                <w:kern w:val="0"/>
                <w:sz w:val="32"/>
                <w:szCs w:val="32"/>
                <w:lang w:val="en-US" w:eastAsia="zh-CN" w:bidi="ar"/>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表演表现力 (15分)：</w:t>
            </w:r>
            <w:r>
              <w:rPr>
                <w:rFonts w:hint="eastAsia" w:ascii="Times New Roman" w:hAnsi="Times New Roman" w:eastAsia="仿宋_GB2312" w:cs="Times New Roman"/>
                <w:i w:val="0"/>
                <w:caps w:val="0"/>
                <w:spacing w:val="0"/>
                <w:kern w:val="0"/>
                <w:sz w:val="32"/>
                <w:szCs w:val="32"/>
                <w:lang w:val="en-US" w:eastAsia="zh-CN" w:bidi="ar"/>
              </w:rPr>
              <w:t>演员是否投入，情感表达是否与剧情和角色身份匹配，台词清晰洪亮，肢体语言能有效辅助叙事。</w:t>
            </w:r>
          </w:p>
          <w:p w14:paraId="66803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团队协作 (10分)</w:t>
            </w:r>
            <w:r>
              <w:rPr>
                <w:rFonts w:hint="eastAsia" w:ascii="Times New Roman" w:hAnsi="Times New Roman" w:eastAsia="仿宋_GB2312" w:cs="Times New Roman"/>
                <w:i w:val="0"/>
                <w:caps w:val="0"/>
                <w:spacing w:val="0"/>
                <w:kern w:val="0"/>
                <w:sz w:val="32"/>
                <w:szCs w:val="32"/>
                <w:lang w:val="en-US" w:eastAsia="zh-CN" w:bidi="ar"/>
              </w:rPr>
              <w:t>：团队成员间配合是否默契，角色分工是否明确，上下场、衔接是否流畅。</w:t>
            </w:r>
          </w:p>
        </w:tc>
      </w:tr>
      <w:tr w14:paraId="275C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jc w:val="center"/>
        </w:trPr>
        <w:tc>
          <w:tcPr>
            <w:tcW w:w="1751" w:type="dxa"/>
            <w:shd w:val="clear" w:color="auto" w:fill="FFFFFF"/>
            <w:tcMar>
              <w:top w:w="158" w:type="dxa"/>
              <w:left w:w="210" w:type="dxa"/>
              <w:bottom w:w="158" w:type="dxa"/>
              <w:right w:w="210" w:type="dxa"/>
            </w:tcMar>
            <w:vAlign w:val="center"/>
          </w:tcPr>
          <w:p w14:paraId="3F9D7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4.整体创意与舞台效果</w:t>
            </w:r>
            <w:r>
              <w:rPr>
                <w:rFonts w:hint="eastAsia" w:ascii="Times New Roman" w:hAnsi="Times New Roman" w:eastAsia="仿宋_GB2312" w:cs="Times New Roman"/>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1DCE5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10分</w:t>
            </w:r>
            <w:r>
              <w:rPr>
                <w:rFonts w:hint="eastAsia" w:ascii="Times New Roman" w:hAnsi="Times New Roman" w:eastAsia="仿宋_GB2312" w:cs="Times New Roman"/>
                <w:i w:val="0"/>
                <w:caps w:val="0"/>
                <w:spacing w:val="0"/>
                <w:kern w:val="0"/>
                <w:sz w:val="32"/>
                <w:szCs w:val="32"/>
                <w:lang w:val="en-US" w:eastAsia="zh-CN" w:bidi="ar"/>
              </w:rPr>
              <w:t>​</w:t>
            </w:r>
          </w:p>
        </w:tc>
        <w:tc>
          <w:tcPr>
            <w:tcW w:w="6418" w:type="dxa"/>
            <w:shd w:val="clear" w:color="auto" w:fill="FFFFFF"/>
            <w:tcMar>
              <w:top w:w="158" w:type="dxa"/>
              <w:left w:w="210" w:type="dxa"/>
              <w:bottom w:w="158" w:type="dxa"/>
              <w:right w:w="210" w:type="dxa"/>
            </w:tcMar>
            <w:vAlign w:val="center"/>
          </w:tcPr>
          <w:p w14:paraId="46FEE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仿宋_GB2312" w:cs="Times New Roman"/>
                <w:i w:val="0"/>
                <w:caps w:val="0"/>
                <w:spacing w:val="0"/>
                <w:kern w:val="0"/>
                <w:sz w:val="32"/>
                <w:szCs w:val="32"/>
                <w:lang w:val="en-US" w:eastAsia="zh-CN" w:bidi="ar"/>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形式创新性 (5分)：</w:t>
            </w:r>
            <w:r>
              <w:rPr>
                <w:rFonts w:hint="eastAsia" w:ascii="Times New Roman" w:hAnsi="Times New Roman" w:eastAsia="仿宋_GB2312" w:cs="Times New Roman"/>
                <w:i w:val="0"/>
                <w:caps w:val="0"/>
                <w:spacing w:val="0"/>
                <w:kern w:val="0"/>
                <w:sz w:val="32"/>
                <w:szCs w:val="32"/>
                <w:lang w:val="en-US" w:eastAsia="zh-CN" w:bidi="ar"/>
              </w:rPr>
              <w:t>表演形式或内容构思是否有新意，能否生动、有趣地展现礼仪内容。</w:t>
            </w:r>
          </w:p>
          <w:p w14:paraId="1B827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仿宋_GB2312" w:cs="Times New Roman"/>
                <w:i w:val="0"/>
                <w:caps w:val="0"/>
                <w:spacing w:val="0"/>
                <w:sz w:val="32"/>
                <w:szCs w:val="32"/>
              </w:rPr>
            </w:pPr>
            <w:r>
              <w:rPr>
                <w:rStyle w:val="10"/>
                <w:rFonts w:hint="eastAsia" w:ascii="Times New Roman" w:hAnsi="Times New Roman" w:eastAsia="仿宋_GB2312" w:cs="Times New Roman"/>
                <w:b/>
                <w:i w:val="0"/>
                <w:caps w:val="0"/>
                <w:spacing w:val="0"/>
                <w:kern w:val="0"/>
                <w:sz w:val="32"/>
                <w:szCs w:val="32"/>
                <w:vertAlign w:val="baseline"/>
                <w:lang w:val="en-US" w:eastAsia="zh-CN" w:bidi="ar"/>
              </w:rPr>
              <w:t>舞台效果 (5分)：</w:t>
            </w:r>
            <w:r>
              <w:rPr>
                <w:rFonts w:hint="eastAsia" w:ascii="Times New Roman" w:hAnsi="Times New Roman" w:eastAsia="仿宋_GB2312" w:cs="Times New Roman"/>
                <w:i w:val="0"/>
                <w:caps w:val="0"/>
                <w:spacing w:val="0"/>
                <w:kern w:val="0"/>
                <w:sz w:val="32"/>
                <w:szCs w:val="32"/>
                <w:lang w:val="en-US" w:eastAsia="zh-CN" w:bidi="ar"/>
              </w:rPr>
              <w:t>服装、道具、音效等运用是否恰当、贴合职业场景，整体视觉呈现是否整洁、和谐。</w:t>
            </w:r>
          </w:p>
        </w:tc>
      </w:tr>
    </w:tbl>
    <w:p w14:paraId="66F0A8B8">
      <w:pPr>
        <w:rPr>
          <w:rFonts w:hint="default" w:eastAsia="宋体"/>
          <w:lang w:val="en-US" w:eastAsia="zh-CN"/>
        </w:rPr>
      </w:pPr>
    </w:p>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4A90D-DB45-4985-BEF3-1CFE8B0095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466DCC5-A052-4549-84C8-215EB204EFB0}"/>
  </w:font>
  <w:font w:name="方正小标宋简体">
    <w:panose1 w:val="02000000000000000000"/>
    <w:charset w:val="86"/>
    <w:family w:val="auto"/>
    <w:pitch w:val="default"/>
    <w:sig w:usb0="00000001" w:usb1="080E0000" w:usb2="00000000" w:usb3="00000000" w:csb0="00040000" w:csb1="00000000"/>
    <w:embedRegular r:id="rId3" w:fontKey="{4C43F7A9-0FE8-4FF7-B62E-BE96A70FE2BB}"/>
  </w:font>
  <w:font w:name="楷体">
    <w:panose1 w:val="02010609060101010101"/>
    <w:charset w:val="86"/>
    <w:family w:val="auto"/>
    <w:pitch w:val="default"/>
    <w:sig w:usb0="800002BF" w:usb1="38CF7CFA" w:usb2="00000016" w:usb3="00000000" w:csb0="00040001" w:csb1="00000000"/>
    <w:embedRegular r:id="rId4" w:fontKey="{BCB43E28-7447-4B93-9D82-94E1C5A6D258}"/>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61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796E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A796E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069E1"/>
    <w:rsid w:val="030E43E3"/>
    <w:rsid w:val="03BB7608"/>
    <w:rsid w:val="077D12FD"/>
    <w:rsid w:val="086B7EE6"/>
    <w:rsid w:val="097767B6"/>
    <w:rsid w:val="0E0C09A8"/>
    <w:rsid w:val="0E15651D"/>
    <w:rsid w:val="0FE11113"/>
    <w:rsid w:val="106417F2"/>
    <w:rsid w:val="10AC4AC1"/>
    <w:rsid w:val="10DE52EC"/>
    <w:rsid w:val="14DC7D94"/>
    <w:rsid w:val="14FE0B67"/>
    <w:rsid w:val="15A9256F"/>
    <w:rsid w:val="17A22EBB"/>
    <w:rsid w:val="18893F82"/>
    <w:rsid w:val="18F04B36"/>
    <w:rsid w:val="1920189D"/>
    <w:rsid w:val="1A0C2C27"/>
    <w:rsid w:val="1A8678C0"/>
    <w:rsid w:val="1B0E67CD"/>
    <w:rsid w:val="1B293607"/>
    <w:rsid w:val="1B2E6E70"/>
    <w:rsid w:val="1BA31985"/>
    <w:rsid w:val="1BF73705"/>
    <w:rsid w:val="1EE504E9"/>
    <w:rsid w:val="1F995276"/>
    <w:rsid w:val="1FB042F7"/>
    <w:rsid w:val="1FCB1F43"/>
    <w:rsid w:val="20FD552D"/>
    <w:rsid w:val="213C2975"/>
    <w:rsid w:val="243D2CD2"/>
    <w:rsid w:val="26A86D5B"/>
    <w:rsid w:val="275142A7"/>
    <w:rsid w:val="2814225F"/>
    <w:rsid w:val="281B349E"/>
    <w:rsid w:val="2AE069E1"/>
    <w:rsid w:val="2D125F0D"/>
    <w:rsid w:val="2EE52201"/>
    <w:rsid w:val="2EE97E88"/>
    <w:rsid w:val="345F3B89"/>
    <w:rsid w:val="35092088"/>
    <w:rsid w:val="36813A92"/>
    <w:rsid w:val="380467CE"/>
    <w:rsid w:val="392B65A2"/>
    <w:rsid w:val="3BBC3A4D"/>
    <w:rsid w:val="3D073DF8"/>
    <w:rsid w:val="3D483969"/>
    <w:rsid w:val="448F4593"/>
    <w:rsid w:val="45A96F15"/>
    <w:rsid w:val="462E1E5B"/>
    <w:rsid w:val="470B3ADB"/>
    <w:rsid w:val="470D47E4"/>
    <w:rsid w:val="47E812B8"/>
    <w:rsid w:val="484D3109"/>
    <w:rsid w:val="493C288E"/>
    <w:rsid w:val="4A09024D"/>
    <w:rsid w:val="4BB423EC"/>
    <w:rsid w:val="4BDE4A23"/>
    <w:rsid w:val="4C5E6286"/>
    <w:rsid w:val="4CE264C0"/>
    <w:rsid w:val="4D5D025F"/>
    <w:rsid w:val="4E18179B"/>
    <w:rsid w:val="4E762C62"/>
    <w:rsid w:val="4FB76AD1"/>
    <w:rsid w:val="54565650"/>
    <w:rsid w:val="54B90D5C"/>
    <w:rsid w:val="564908AC"/>
    <w:rsid w:val="56DA389E"/>
    <w:rsid w:val="57B17667"/>
    <w:rsid w:val="586115AD"/>
    <w:rsid w:val="58E40592"/>
    <w:rsid w:val="5A580418"/>
    <w:rsid w:val="5B8F2E1A"/>
    <w:rsid w:val="5BDD2B45"/>
    <w:rsid w:val="5E1611EE"/>
    <w:rsid w:val="5F016441"/>
    <w:rsid w:val="60030D6D"/>
    <w:rsid w:val="61C94C5F"/>
    <w:rsid w:val="62BE2037"/>
    <w:rsid w:val="64BC7C7C"/>
    <w:rsid w:val="651F561C"/>
    <w:rsid w:val="66AF4C66"/>
    <w:rsid w:val="69423826"/>
    <w:rsid w:val="6BB530D0"/>
    <w:rsid w:val="6D8A66CB"/>
    <w:rsid w:val="6DFB06A6"/>
    <w:rsid w:val="6FFD0A22"/>
    <w:rsid w:val="702A0B29"/>
    <w:rsid w:val="71EF5B86"/>
    <w:rsid w:val="723E217D"/>
    <w:rsid w:val="72E01F2B"/>
    <w:rsid w:val="74D767A8"/>
    <w:rsid w:val="75683E5F"/>
    <w:rsid w:val="756902A2"/>
    <w:rsid w:val="76966EFA"/>
    <w:rsid w:val="771F5819"/>
    <w:rsid w:val="77974740"/>
    <w:rsid w:val="78440BA6"/>
    <w:rsid w:val="7A18126C"/>
    <w:rsid w:val="7A480529"/>
    <w:rsid w:val="7AA80FC8"/>
    <w:rsid w:val="7CCF0A8E"/>
    <w:rsid w:val="7CD06C09"/>
    <w:rsid w:val="7D882898"/>
    <w:rsid w:val="7FF3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link w:val="11"/>
    <w:semiHidden/>
    <w:unhideWhenUsed/>
    <w:qFormat/>
    <w:uiPriority w:val="0"/>
    <w:pPr>
      <w:spacing w:line="480" w:lineRule="auto"/>
      <w:outlineLvl w:val="1"/>
    </w:pPr>
    <w:rPr>
      <w:rFonts w:ascii="黑体" w:hAnsi="黑体" w:eastAsia="黑体" w:cs="黑体"/>
      <w:b w:val="0"/>
      <w:bCs/>
      <w:kern w:val="0"/>
      <w:sz w:val="28"/>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标题 2 Char"/>
    <w:link w:val="3"/>
    <w:qFormat/>
    <w:uiPriority w:val="0"/>
    <w:rPr>
      <w:rFonts w:ascii="黑体" w:hAnsi="黑体" w:eastAsia="黑体" w:cs="黑体"/>
      <w:bCs/>
      <w:kern w:val="0"/>
      <w:sz w:val="28"/>
      <w:szCs w:val="24"/>
    </w:rPr>
  </w:style>
  <w:style w:type="paragraph" w:customStyle="1" w:styleId="12">
    <w:name w:val="List Paragraph1"/>
    <w:basedOn w:val="1"/>
    <w:qFormat/>
    <w:uiPriority w:val="0"/>
    <w:pPr>
      <w:spacing w:before="100" w:beforeAutospacing="1" w:after="100" w:afterAutospacing="1"/>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2980</Words>
  <Characters>3138</Characters>
  <Lines>0</Lines>
  <Paragraphs>0</Paragraphs>
  <TotalTime>95</TotalTime>
  <ScaleCrop>false</ScaleCrop>
  <LinksUpToDate>false</LinksUpToDate>
  <CharactersWithSpaces>3159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2025-11-10T05:42:00Z</dcterms:created>
  <dc:creator>商学院</dc:creator>
  <cp:lastModifiedBy>陆鸣谦</cp:lastModifiedBy>
  <cp:lastPrinted>2025-11-11T08:12:00Z</cp:lastPrinted>
  <dcterms:modified xsi:type="dcterms:W3CDTF">2025-11-11T14:44:53Z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AF61DB221A214D679E94A3E76CE6B734_13</vt:lpwstr>
  </property>
  <property fmtid="{D5CDD505-2E9C-101B-9397-08002B2CF9AE}" pid="4" name="KSOTemplateDocerSaveRecord">
    <vt:lpwstr>eyJoZGlkIjoiZjAzN2U2YzhjMTZjYjE2MTg2ODdiYTg1MzNmNjA3NjEiLCJ1c2VySWQiOiIzNTkzMjQxNDgifQ==</vt:lpwstr>
  </property>
</Properties>
</file>